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92A" w:rsidRPr="00FE777C" w:rsidRDefault="0047592A" w:rsidP="0047592A">
      <w:pPr>
        <w:widowControl w:val="0"/>
        <w:spacing w:line="234" w:lineRule="auto"/>
        <w:jc w:val="center"/>
        <w:rPr>
          <w:b/>
          <w:color w:val="000000"/>
        </w:rPr>
      </w:pPr>
      <w:r w:rsidRPr="00FE777C">
        <w:rPr>
          <w:b/>
          <w:color w:val="000000"/>
        </w:rPr>
        <w:t xml:space="preserve">М. В. Свинарский </w:t>
      </w:r>
    </w:p>
    <w:p w:rsidR="0047592A" w:rsidRPr="00FE777C" w:rsidRDefault="0047592A" w:rsidP="0047592A">
      <w:pPr>
        <w:widowControl w:val="0"/>
        <w:spacing w:line="234" w:lineRule="auto"/>
        <w:jc w:val="center"/>
        <w:rPr>
          <w:color w:val="000000"/>
        </w:rPr>
      </w:pPr>
      <w:r w:rsidRPr="00FE777C">
        <w:rPr>
          <w:i/>
          <w:color w:val="000000"/>
        </w:rPr>
        <w:t>(ВА, Минск)</w:t>
      </w:r>
    </w:p>
    <w:p w:rsidR="0047592A" w:rsidRPr="00FE777C" w:rsidRDefault="0047592A" w:rsidP="0047592A">
      <w:pPr>
        <w:widowControl w:val="0"/>
        <w:spacing w:line="234" w:lineRule="auto"/>
        <w:jc w:val="center"/>
        <w:rPr>
          <w:b/>
          <w:color w:val="000000"/>
        </w:rPr>
      </w:pPr>
      <w:r w:rsidRPr="00FE777C">
        <w:rPr>
          <w:b/>
          <w:color w:val="000000"/>
        </w:rPr>
        <w:t xml:space="preserve">ПРИМЕНЕНИЕ ТЕОРИИ МАССОВОГО </w:t>
      </w:r>
      <w:r w:rsidRPr="00FE777C">
        <w:rPr>
          <w:b/>
          <w:color w:val="000000"/>
        </w:rPr>
        <w:br/>
        <w:t>ОБСЛУЖИВАНИЯ В ВОЕННОМ ДЕЛЕ</w:t>
      </w:r>
    </w:p>
    <w:p w:rsidR="0047592A" w:rsidRPr="00FE777C" w:rsidRDefault="0047592A" w:rsidP="0047592A">
      <w:pPr>
        <w:widowControl w:val="0"/>
        <w:spacing w:line="234" w:lineRule="auto"/>
        <w:ind w:firstLine="425"/>
        <w:jc w:val="center"/>
        <w:rPr>
          <w:i/>
          <w:color w:val="000000"/>
        </w:rPr>
      </w:pPr>
    </w:p>
    <w:p w:rsidR="0047592A" w:rsidRPr="00FE777C" w:rsidRDefault="0047592A" w:rsidP="0047592A">
      <w:pPr>
        <w:widowControl w:val="0"/>
        <w:spacing w:line="234" w:lineRule="auto"/>
        <w:ind w:firstLine="425"/>
        <w:jc w:val="both"/>
        <w:rPr>
          <w:color w:val="000000"/>
        </w:rPr>
      </w:pPr>
      <w:r w:rsidRPr="00FE777C">
        <w:rPr>
          <w:color w:val="000000"/>
        </w:rPr>
        <w:t>Разработка методов обработки опытных данных составляет одну из основных прикладных задач теории вероятностей и математической статистики. Изучая теорию массового обслуживания, военные специ</w:t>
      </w:r>
      <w:r w:rsidRPr="00FE777C">
        <w:rPr>
          <w:color w:val="000000"/>
        </w:rPr>
        <w:t>а</w:t>
      </w:r>
      <w:r w:rsidRPr="00FE777C">
        <w:rPr>
          <w:color w:val="000000"/>
        </w:rPr>
        <w:t>листы без особого труда могут увидеть соответствующие военные с</w:t>
      </w:r>
      <w:r w:rsidRPr="00FE777C">
        <w:rPr>
          <w:color w:val="000000"/>
        </w:rPr>
        <w:t>и</w:t>
      </w:r>
      <w:r w:rsidRPr="00FE777C">
        <w:rPr>
          <w:color w:val="000000"/>
        </w:rPr>
        <w:t>туации, в которых можно использовать аналитический подход к реш</w:t>
      </w:r>
      <w:r w:rsidRPr="00FE777C">
        <w:rPr>
          <w:color w:val="000000"/>
        </w:rPr>
        <w:t>е</w:t>
      </w:r>
      <w:r w:rsidRPr="00FE777C">
        <w:rPr>
          <w:color w:val="000000"/>
        </w:rPr>
        <w:t>нию задач, с которыми они сталкиваются в практической деятельн</w:t>
      </w:r>
      <w:r w:rsidRPr="00FE777C">
        <w:rPr>
          <w:color w:val="000000"/>
        </w:rPr>
        <w:t>о</w:t>
      </w:r>
      <w:r w:rsidRPr="00FE777C">
        <w:rPr>
          <w:color w:val="000000"/>
        </w:rPr>
        <w:t>сти.</w:t>
      </w:r>
    </w:p>
    <w:p w:rsidR="0047592A" w:rsidRPr="00FE777C" w:rsidRDefault="0047592A" w:rsidP="0047592A">
      <w:pPr>
        <w:widowControl w:val="0"/>
        <w:spacing w:line="234" w:lineRule="auto"/>
        <w:ind w:firstLine="425"/>
        <w:jc w:val="both"/>
        <w:rPr>
          <w:color w:val="000000"/>
        </w:rPr>
      </w:pPr>
      <w:r w:rsidRPr="00FE777C">
        <w:rPr>
          <w:color w:val="000000"/>
        </w:rPr>
        <w:t>Имеется 3 основных направления приложения этой теории, пре</w:t>
      </w:r>
      <w:r w:rsidRPr="00FE777C">
        <w:rPr>
          <w:color w:val="000000"/>
        </w:rPr>
        <w:t>д</w:t>
      </w:r>
      <w:r w:rsidRPr="00FE777C">
        <w:rPr>
          <w:color w:val="000000"/>
        </w:rPr>
        <w:t>ста</w:t>
      </w:r>
      <w:r w:rsidRPr="00FE777C">
        <w:rPr>
          <w:color w:val="000000"/>
        </w:rPr>
        <w:t>в</w:t>
      </w:r>
      <w:r w:rsidRPr="00FE777C">
        <w:rPr>
          <w:color w:val="000000"/>
        </w:rPr>
        <w:t>ляющих весьма существенный интерес для военных специалистов:</w:t>
      </w:r>
    </w:p>
    <w:p w:rsidR="0047592A" w:rsidRPr="00FE777C" w:rsidRDefault="0047592A" w:rsidP="0047592A">
      <w:pPr>
        <w:widowControl w:val="0"/>
        <w:numPr>
          <w:ilvl w:val="0"/>
          <w:numId w:val="1"/>
        </w:numPr>
        <w:tabs>
          <w:tab w:val="left" w:pos="644"/>
        </w:tabs>
        <w:spacing w:line="234" w:lineRule="auto"/>
        <w:ind w:left="0" w:firstLine="425"/>
        <w:jc w:val="both"/>
        <w:rPr>
          <w:color w:val="000000"/>
        </w:rPr>
      </w:pPr>
      <w:r w:rsidRPr="00FE777C">
        <w:rPr>
          <w:color w:val="000000"/>
        </w:rPr>
        <w:t>задачи, связанные с организацией всевозможных военных си</w:t>
      </w:r>
      <w:r w:rsidRPr="00FE777C">
        <w:rPr>
          <w:color w:val="000000"/>
        </w:rPr>
        <w:t>с</w:t>
      </w:r>
      <w:r w:rsidRPr="00FE777C">
        <w:rPr>
          <w:color w:val="000000"/>
        </w:rPr>
        <w:t>тем обслуживания в целях построения оптимальной системы в ка</w:t>
      </w:r>
      <w:r w:rsidRPr="00FE777C">
        <w:rPr>
          <w:color w:val="000000"/>
        </w:rPr>
        <w:t>ж</w:t>
      </w:r>
      <w:r w:rsidRPr="00FE777C">
        <w:rPr>
          <w:color w:val="000000"/>
        </w:rPr>
        <w:t>дом конкретном случае;</w:t>
      </w:r>
    </w:p>
    <w:p w:rsidR="0047592A" w:rsidRPr="00FE777C" w:rsidRDefault="0047592A" w:rsidP="0047592A">
      <w:pPr>
        <w:widowControl w:val="0"/>
        <w:numPr>
          <w:ilvl w:val="0"/>
          <w:numId w:val="1"/>
        </w:numPr>
        <w:tabs>
          <w:tab w:val="left" w:pos="644"/>
        </w:tabs>
        <w:spacing w:line="234" w:lineRule="auto"/>
        <w:ind w:left="0" w:firstLine="425"/>
        <w:jc w:val="both"/>
        <w:rPr>
          <w:color w:val="000000"/>
        </w:rPr>
      </w:pPr>
      <w:r w:rsidRPr="00FE777C">
        <w:rPr>
          <w:color w:val="000000"/>
        </w:rPr>
        <w:t>задачи, связанные с организацией управления силами в бою;</w:t>
      </w:r>
    </w:p>
    <w:p w:rsidR="0047592A" w:rsidRPr="00FE777C" w:rsidRDefault="0047592A" w:rsidP="0047592A">
      <w:pPr>
        <w:widowControl w:val="0"/>
        <w:numPr>
          <w:ilvl w:val="0"/>
          <w:numId w:val="1"/>
        </w:numPr>
        <w:tabs>
          <w:tab w:val="left" w:pos="644"/>
        </w:tabs>
        <w:spacing w:line="234" w:lineRule="auto"/>
        <w:ind w:left="0" w:firstLine="425"/>
        <w:jc w:val="both"/>
        <w:rPr>
          <w:color w:val="000000"/>
          <w:spacing w:val="-4"/>
        </w:rPr>
      </w:pPr>
      <w:r w:rsidRPr="00FE777C">
        <w:rPr>
          <w:color w:val="000000"/>
          <w:spacing w:val="-4"/>
        </w:rPr>
        <w:t>задачи, связанные с использованием методов массового обслуж</w:t>
      </w:r>
      <w:r w:rsidRPr="00FE777C">
        <w:rPr>
          <w:color w:val="000000"/>
          <w:spacing w:val="-4"/>
        </w:rPr>
        <w:t>и</w:t>
      </w:r>
      <w:r w:rsidRPr="00FE777C">
        <w:rPr>
          <w:color w:val="000000"/>
          <w:spacing w:val="-4"/>
        </w:rPr>
        <w:t>вания при математическом моделировании процессов боевых дейс</w:t>
      </w:r>
      <w:r w:rsidRPr="00FE777C">
        <w:rPr>
          <w:color w:val="000000"/>
          <w:spacing w:val="-4"/>
        </w:rPr>
        <w:t>т</w:t>
      </w:r>
      <w:r w:rsidRPr="00FE777C">
        <w:rPr>
          <w:color w:val="000000"/>
          <w:spacing w:val="-4"/>
        </w:rPr>
        <w:t>вий.</w:t>
      </w:r>
    </w:p>
    <w:p w:rsidR="0047592A" w:rsidRPr="00FE777C" w:rsidRDefault="0047592A" w:rsidP="0047592A">
      <w:pPr>
        <w:widowControl w:val="0"/>
        <w:ind w:firstLine="425"/>
        <w:jc w:val="both"/>
        <w:rPr>
          <w:color w:val="000000"/>
        </w:rPr>
      </w:pPr>
      <w:r w:rsidRPr="00FE777C">
        <w:rPr>
          <w:b/>
          <w:color w:val="000000"/>
        </w:rPr>
        <w:t xml:space="preserve">Пример: </w:t>
      </w:r>
      <w:r w:rsidRPr="00FE777C">
        <w:rPr>
          <w:color w:val="000000"/>
        </w:rPr>
        <w:t>на аэродроме находится дежурное звено из четырёх и</w:t>
      </w:r>
      <w:r w:rsidRPr="00FE777C">
        <w:rPr>
          <w:color w:val="000000"/>
        </w:rPr>
        <w:t>с</w:t>
      </w:r>
      <w:r w:rsidRPr="00FE777C">
        <w:rPr>
          <w:color w:val="000000"/>
        </w:rPr>
        <w:t>требителей-перехватчиков. Среднее время цикла (полёт на перехват и подг</w:t>
      </w:r>
      <w:r w:rsidRPr="00FE777C">
        <w:rPr>
          <w:color w:val="000000"/>
        </w:rPr>
        <w:t>о</w:t>
      </w:r>
      <w:r w:rsidRPr="00FE777C">
        <w:rPr>
          <w:color w:val="000000"/>
        </w:rPr>
        <w:t>товка к повторному вылету) для этого самолёта равно одному часу. Каждый истребитель наводится на одну цель. Для отражения н</w:t>
      </w:r>
      <w:r w:rsidRPr="00FE777C">
        <w:rPr>
          <w:color w:val="000000"/>
        </w:rPr>
        <w:t>а</w:t>
      </w:r>
      <w:r w:rsidRPr="00FE777C">
        <w:rPr>
          <w:color w:val="000000"/>
        </w:rPr>
        <w:t>лёта используются только перехватчики дежурного звена. Интенси</w:t>
      </w:r>
      <w:r w:rsidRPr="00FE777C">
        <w:rPr>
          <w:color w:val="000000"/>
        </w:rPr>
        <w:t>в</w:t>
      </w:r>
      <w:r w:rsidRPr="00FE777C">
        <w:rPr>
          <w:color w:val="000000"/>
        </w:rPr>
        <w:t>ность потока целей λ=4 скоростные цели в час. Определим фактич</w:t>
      </w:r>
      <w:r w:rsidRPr="00FE777C">
        <w:rPr>
          <w:color w:val="000000"/>
        </w:rPr>
        <w:t>е</w:t>
      </w:r>
      <w:r w:rsidRPr="00FE777C">
        <w:rPr>
          <w:color w:val="000000"/>
        </w:rPr>
        <w:t>скую проп</w:t>
      </w:r>
      <w:r w:rsidRPr="00FE777C">
        <w:rPr>
          <w:color w:val="000000"/>
        </w:rPr>
        <w:t>у</w:t>
      </w:r>
      <w:r w:rsidRPr="00FE777C">
        <w:rPr>
          <w:color w:val="000000"/>
        </w:rPr>
        <w:t>скную способность системы, которая ниже номинальной из-за наличия случайных сгущений и разряжений в потоке целей, кот</w:t>
      </w:r>
      <w:r w:rsidRPr="00FE777C">
        <w:rPr>
          <w:color w:val="000000"/>
        </w:rPr>
        <w:t>о</w:t>
      </w:r>
      <w:r w:rsidRPr="00FE777C">
        <w:rPr>
          <w:color w:val="000000"/>
        </w:rPr>
        <w:t>рые нельзя предвидеть заранее.</w:t>
      </w:r>
    </w:p>
    <w:p w:rsidR="0047592A" w:rsidRPr="00FE777C" w:rsidRDefault="0047592A" w:rsidP="0047592A">
      <w:pPr>
        <w:widowControl w:val="0"/>
        <w:ind w:firstLine="425"/>
        <w:jc w:val="both"/>
        <w:rPr>
          <w:color w:val="000000"/>
        </w:rPr>
      </w:pPr>
      <w:r w:rsidRPr="00FE777C">
        <w:rPr>
          <w:b/>
          <w:color w:val="000000"/>
        </w:rPr>
        <w:t xml:space="preserve">Решение: </w:t>
      </w:r>
      <w:r w:rsidRPr="00FE777C">
        <w:rPr>
          <w:color w:val="000000"/>
        </w:rPr>
        <w:t>имеем μ=1/t=1/1=1, λ=4, р= λ/ μ=4/1=4, n=4.</w:t>
      </w:r>
    </w:p>
    <w:p w:rsidR="0047592A" w:rsidRPr="00FE777C" w:rsidRDefault="0047592A" w:rsidP="0047592A">
      <w:pPr>
        <w:widowControl w:val="0"/>
        <w:ind w:firstLine="425"/>
        <w:jc w:val="both"/>
        <w:rPr>
          <w:color w:val="000000"/>
        </w:rPr>
      </w:pPr>
      <w:r w:rsidRPr="00FE777C">
        <w:rPr>
          <w:color w:val="000000"/>
        </w:rPr>
        <w:t>По формуле Эрланга получим</w:t>
      </w:r>
    </w:p>
    <w:p w:rsidR="0047592A" w:rsidRPr="00FE777C" w:rsidRDefault="0047592A" w:rsidP="0047592A">
      <w:pPr>
        <w:widowControl w:val="0"/>
        <w:jc w:val="center"/>
        <w:rPr>
          <w:i/>
          <w:color w:val="000000"/>
        </w:rPr>
      </w:pPr>
      <w:r w:rsidRPr="00FE777C">
        <w:rPr>
          <w:color w:val="000000"/>
        </w:rPr>
        <w:fldChar w:fldCharType="begin" w:fldLock="1"/>
      </w:r>
      <w:r w:rsidRPr="00FE777C">
        <w:rPr>
          <w:color w:val="000000"/>
        </w:rPr>
        <w:instrText xml:space="preserve"> QUOTE </w:instrText>
      </w:r>
      <m:oMath>
        <m:sSub>
          <m:sSubPr>
            <m:ctrlPr>
              <w:rPr>
                <w:rFonts w:asci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Р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отказа</m:t>
            </m:r>
          </m:sub>
        </m:sSub>
        <m:r>
          <w:rPr>
            <w:rFonts w:ascii="Cambria Math"/>
            <w:sz w:val="36"/>
            <w:szCs w:val="36"/>
          </w:rPr>
          <m:t>=</m:t>
        </m:r>
        <m:sSub>
          <m:sSubPr>
            <m:ctrlPr>
              <w:rPr>
                <w:rFonts w:asci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Р</m:t>
            </m:r>
          </m:e>
          <m:sub>
            <m:r>
              <w:rPr>
                <w:rFonts w:ascii="Cambria Math" w:hAnsi="Cambria Math"/>
                <w:sz w:val="36"/>
                <w:szCs w:val="36"/>
                <w:lang w:val="en-US"/>
              </w:rPr>
              <m:t>n</m:t>
            </m:r>
          </m:sub>
        </m:sSub>
        <m:r>
          <w:rPr>
            <w:rFonts w:ascii="Cambria Math"/>
            <w:sz w:val="36"/>
            <w:szCs w:val="36"/>
          </w:rPr>
          <m:t>=</m:t>
        </m:r>
        <m:f>
          <m:fPr>
            <m:ctrlPr>
              <w:rPr>
                <w:rFonts w:ascii="Cambria Math"/>
                <w:i/>
                <w:sz w:val="36"/>
                <w:szCs w:val="36"/>
              </w:rPr>
            </m:ctrlPr>
          </m:fPr>
          <m:num>
            <m:f>
              <m:fPr>
                <m:ctrlPr>
                  <w:rPr>
                    <w:rFonts w:ascii="Cambria Math"/>
                    <w:i/>
                    <w:sz w:val="36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/>
                        <w:sz w:val="36"/>
                        <w:szCs w:val="36"/>
                      </w:rPr>
                      <m:t>4</m:t>
                    </m:r>
                  </m:e>
                  <m:sup>
                    <m:r>
                      <w:rPr>
                        <w:rFonts w:ascii="Cambria Math"/>
                        <w:sz w:val="36"/>
                        <w:szCs w:val="36"/>
                      </w:rPr>
                      <m:t>4</m:t>
                    </m:r>
                  </m:sup>
                </m:sSup>
              </m:num>
              <m:den>
                <m:r>
                  <w:rPr>
                    <w:rFonts w:ascii="Cambria Math"/>
                    <w:sz w:val="36"/>
                    <w:szCs w:val="36"/>
                  </w:rPr>
                  <m:t>4!</m:t>
                </m:r>
              </m:den>
            </m:f>
          </m:num>
          <m:den>
            <m:r>
              <w:rPr>
                <w:rFonts w:ascii="Cambria Math"/>
                <w:sz w:val="36"/>
                <w:szCs w:val="36"/>
              </w:rPr>
              <m:t>1+</m:t>
            </m:r>
            <m:f>
              <m:fPr>
                <m:ctrlPr>
                  <w:rPr>
                    <w:rFonts w:asci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/>
                    <w:sz w:val="36"/>
                    <w:szCs w:val="36"/>
                  </w:rPr>
                  <m:t>4</m:t>
                </m:r>
              </m:num>
              <m:den>
                <m:r>
                  <w:rPr>
                    <w:rFonts w:ascii="Cambria Math"/>
                    <w:sz w:val="36"/>
                    <w:szCs w:val="36"/>
                  </w:rPr>
                  <m:t>1!</m:t>
                </m:r>
              </m:den>
            </m:f>
            <m:r>
              <w:rPr>
                <w:rFonts w:ascii="Cambria Math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/>
                    <w:i/>
                    <w:sz w:val="36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/>
                        <w:sz w:val="36"/>
                        <w:szCs w:val="36"/>
                      </w:rPr>
                      <m:t>4</m:t>
                    </m:r>
                  </m:e>
                  <m:sup>
                    <m:r>
                      <w:rPr>
                        <w:rFonts w:ascii="Cambria Math"/>
                        <w:sz w:val="36"/>
                        <w:szCs w:val="36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  <w:sz w:val="36"/>
                    <w:szCs w:val="36"/>
                  </w:rPr>
                  <m:t>2!</m:t>
                </m:r>
              </m:den>
            </m:f>
            <m:r>
              <w:rPr>
                <w:rFonts w:ascii="Cambria Math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/>
                    <w:i/>
                    <w:sz w:val="36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/>
                        <w:sz w:val="36"/>
                        <w:szCs w:val="36"/>
                      </w:rPr>
                      <m:t>4</m:t>
                    </m:r>
                  </m:e>
                  <m:sup>
                    <m:r>
                      <w:rPr>
                        <w:rFonts w:ascii="Cambria Math"/>
                        <w:sz w:val="36"/>
                        <w:szCs w:val="36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/>
                    <w:sz w:val="36"/>
                    <w:szCs w:val="36"/>
                  </w:rPr>
                  <m:t>3!</m:t>
                </m:r>
              </m:den>
            </m:f>
            <m:r>
              <w:rPr>
                <w:rFonts w:ascii="Cambria Math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/>
                    <w:i/>
                    <w:sz w:val="36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/>
                        <w:sz w:val="36"/>
                        <w:szCs w:val="36"/>
                      </w:rPr>
                      <m:t>4</m:t>
                    </m:r>
                  </m:e>
                  <m:sup>
                    <m:r>
                      <w:rPr>
                        <w:rFonts w:ascii="Cambria Math"/>
                        <w:sz w:val="36"/>
                        <w:szCs w:val="36"/>
                      </w:rPr>
                      <m:t>4</m:t>
                    </m:r>
                  </m:sup>
                </m:sSup>
              </m:num>
              <m:den>
                <m:r>
                  <w:rPr>
                    <w:rFonts w:ascii="Cambria Math"/>
                    <w:sz w:val="36"/>
                    <w:szCs w:val="36"/>
                  </w:rPr>
                  <m:t>4!</m:t>
                </m:r>
              </m:den>
            </m:f>
          </m:den>
        </m:f>
        <m:r>
          <w:rPr>
            <w:rFonts w:ascii="Cambria Math" w:hAnsi="Cambria Math"/>
            <w:sz w:val="36"/>
            <w:szCs w:val="36"/>
          </w:rPr>
          <m:t>≈</m:t>
        </m:r>
        <m:r>
          <w:rPr>
            <w:rFonts w:ascii="Cambria Math"/>
            <w:sz w:val="36"/>
            <w:szCs w:val="36"/>
          </w:rPr>
          <m:t>0,31</m:t>
        </m:r>
      </m:oMath>
      <w:r w:rsidRPr="00FE777C">
        <w:rPr>
          <w:color w:val="000000"/>
        </w:rPr>
        <w:instrText xml:space="preserve"> </w:instrText>
      </w:r>
      <w:r w:rsidRPr="00FE777C">
        <w:rPr>
          <w:color w:val="000000"/>
        </w:rPr>
        <w:fldChar w:fldCharType="separate"/>
      </w:r>
      <w:r w:rsidRPr="00FE777C">
        <w:rPr>
          <w:color w:val="000000"/>
        </w:rPr>
        <w:fldChar w:fldCharType="end"/>
      </w:r>
      <w:r w:rsidRPr="00FE777C">
        <w:rPr>
          <w:i/>
          <w:color w:val="000000"/>
        </w:rPr>
        <w:t xml:space="preserve"> </w:t>
      </w:r>
      <w:proofErr w:type="spellStart"/>
      <w:r w:rsidRPr="00FE777C">
        <w:rPr>
          <w:i/>
          <w:color w:val="000000"/>
        </w:rPr>
        <w:t>Р</w:t>
      </w:r>
      <w:r w:rsidRPr="00FE777C">
        <w:rPr>
          <w:color w:val="000000"/>
          <w:vertAlign w:val="subscript"/>
        </w:rPr>
        <w:t>отказа</w:t>
      </w:r>
      <w:proofErr w:type="spellEnd"/>
      <w:r w:rsidRPr="00FE777C">
        <w:rPr>
          <w:color w:val="000000"/>
          <w:position w:val="-26"/>
          <w:vertAlign w:val="subscript"/>
        </w:rPr>
        <w:object w:dxaOrig="3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74pt;height:30.75pt" o:ole="" fillcolor="blue">
            <v:imagedata r:id="rId5" o:title=""/>
          </v:shape>
          <o:OLEObject Type="Embed" ProgID="Equation.DSMT4" ShapeID="_x0000_i1026" DrawAspect="Content" ObjectID="_1708344488" r:id="rId6"/>
        </w:object>
      </w:r>
    </w:p>
    <w:p w:rsidR="0047592A" w:rsidRPr="00FE777C" w:rsidRDefault="0047592A" w:rsidP="0047592A">
      <w:pPr>
        <w:widowControl w:val="0"/>
        <w:ind w:firstLine="425"/>
        <w:jc w:val="both"/>
        <w:rPr>
          <w:color w:val="000000"/>
        </w:rPr>
      </w:pPr>
      <w:r w:rsidRPr="00FE777C">
        <w:rPr>
          <w:color w:val="000000"/>
        </w:rPr>
        <w:t xml:space="preserve">Вероятность отказа, равная 0,31, выражает среднюю долю </w:t>
      </w:r>
      <w:proofErr w:type="spellStart"/>
      <w:r w:rsidRPr="00FE777C">
        <w:rPr>
          <w:color w:val="000000"/>
        </w:rPr>
        <w:t>неат</w:t>
      </w:r>
      <w:r w:rsidRPr="00FE777C">
        <w:rPr>
          <w:color w:val="000000"/>
        </w:rPr>
        <w:t>а</w:t>
      </w:r>
      <w:r w:rsidRPr="00FE777C">
        <w:rPr>
          <w:color w:val="000000"/>
        </w:rPr>
        <w:t>кованных</w:t>
      </w:r>
      <w:proofErr w:type="spellEnd"/>
      <w:r w:rsidRPr="00FE777C">
        <w:rPr>
          <w:color w:val="000000"/>
        </w:rPr>
        <w:t xml:space="preserve"> целей. Из этого примера видно, что сокращение времени подг</w:t>
      </w:r>
      <w:r w:rsidRPr="00FE777C">
        <w:rPr>
          <w:color w:val="000000"/>
        </w:rPr>
        <w:t>о</w:t>
      </w:r>
      <w:r w:rsidRPr="00FE777C">
        <w:rPr>
          <w:color w:val="000000"/>
        </w:rPr>
        <w:t>товки на земле уменьшает вероятность отказа системы массового обсл</w:t>
      </w:r>
      <w:r w:rsidRPr="00FE777C">
        <w:rPr>
          <w:color w:val="000000"/>
        </w:rPr>
        <w:t>у</w:t>
      </w:r>
      <w:r w:rsidRPr="00FE777C">
        <w:rPr>
          <w:color w:val="000000"/>
        </w:rPr>
        <w:t>живания.</w:t>
      </w:r>
    </w:p>
    <w:p w:rsidR="0047592A" w:rsidRPr="00FE777C" w:rsidRDefault="0047592A" w:rsidP="0047592A">
      <w:pPr>
        <w:widowControl w:val="0"/>
        <w:ind w:firstLine="425"/>
        <w:jc w:val="both"/>
        <w:rPr>
          <w:color w:val="000000"/>
        </w:rPr>
      </w:pPr>
      <w:r w:rsidRPr="00FE777C">
        <w:rPr>
          <w:b/>
          <w:color w:val="000000"/>
        </w:rPr>
        <w:t>Вывод:</w:t>
      </w:r>
      <w:r w:rsidRPr="00FE777C">
        <w:rPr>
          <w:color w:val="000000"/>
        </w:rPr>
        <w:t xml:space="preserve"> Из вышеизложенного решения примера можно сделать вывод, что применение теории массового обслуживания в военном д</w:t>
      </w:r>
      <w:r w:rsidRPr="00FE777C">
        <w:rPr>
          <w:color w:val="000000"/>
        </w:rPr>
        <w:t>е</w:t>
      </w:r>
      <w:r w:rsidRPr="00FE777C">
        <w:rPr>
          <w:color w:val="000000"/>
        </w:rPr>
        <w:t xml:space="preserve">ле может принести очень хорошие плюсы. </w:t>
      </w:r>
    </w:p>
    <w:p w:rsidR="004B5ED2" w:rsidRDefault="004B5ED2">
      <w:bookmarkStart w:id="0" w:name="_GoBack"/>
      <w:bookmarkEnd w:id="0"/>
    </w:p>
    <w:sectPr w:rsidR="004B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F22B1"/>
    <w:multiLevelType w:val="hybridMultilevel"/>
    <w:tmpl w:val="609E1D28"/>
    <w:lvl w:ilvl="0" w:tplc="5798C03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51"/>
    <w:rsid w:val="0047592A"/>
    <w:rsid w:val="004B5ED2"/>
    <w:rsid w:val="00C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74DB5-85AA-4243-9893-67BE6193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2022-03-09T12:17:00Z</dcterms:created>
  <dcterms:modified xsi:type="dcterms:W3CDTF">2022-03-09T12:19:00Z</dcterms:modified>
</cp:coreProperties>
</file>